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23406" w14:textId="699EF7D6" w:rsidR="008E3C3A" w:rsidRDefault="008E3C3A">
      <w:r>
        <w:t xml:space="preserve">INTEGRAZIONE PTOF </w:t>
      </w:r>
      <w:proofErr w:type="spellStart"/>
      <w:r>
        <w:t>a.s.</w:t>
      </w:r>
      <w:proofErr w:type="spellEnd"/>
      <w:r>
        <w:t xml:space="preserve"> 2019/2020</w:t>
      </w:r>
    </w:p>
    <w:p w14:paraId="1296B9EA" w14:textId="3B67126F" w:rsidR="008E3C3A" w:rsidRDefault="008E3C3A"/>
    <w:p w14:paraId="7C3B10A6" w14:textId="19516796" w:rsidR="008E3C3A" w:rsidRDefault="008E3C3A">
      <w:r>
        <w:t xml:space="preserve">L a sospensione delle attività didattiche </w:t>
      </w:r>
      <w:r w:rsidRPr="00A70570">
        <w:t>decisa con il</w:t>
      </w:r>
      <w:r w:rsidR="00A70570">
        <w:t xml:space="preserve"> DPCM del 4 Marzo 2020</w:t>
      </w:r>
      <w:r>
        <w:t xml:space="preserve"> e confermata dai successivi DPCM, </w:t>
      </w:r>
      <w:proofErr w:type="gramStart"/>
      <w:r>
        <w:t>ha ,</w:t>
      </w:r>
      <w:proofErr w:type="gramEnd"/>
      <w:r>
        <w:t xml:space="preserve"> inevitabilmente, portato a riconsiderare il PTOF alla luce anche della nuovo modello</w:t>
      </w:r>
      <w:r w:rsidR="000D7731">
        <w:t xml:space="preserve"> organizzativo </w:t>
      </w:r>
      <w:r>
        <w:t xml:space="preserve"> di scuola</w:t>
      </w:r>
      <w:r w:rsidR="000D7731">
        <w:t>,</w:t>
      </w:r>
      <w:r>
        <w:t xml:space="preserve"> dato dalla DAD.</w:t>
      </w:r>
    </w:p>
    <w:p w14:paraId="2D9108D1" w14:textId="47737F0B" w:rsidR="000D7731" w:rsidRDefault="000D7731" w:rsidP="000D7731">
      <w:pPr>
        <w:rPr>
          <w:rFonts w:eastAsia="Times New Roman" w:cs="Helvetica"/>
          <w:color w:val="222222"/>
          <w:lang w:eastAsia="it-IT"/>
        </w:rPr>
      </w:pPr>
      <w:r>
        <w:t>La nostra Scuola,</w:t>
      </w:r>
      <w:r w:rsidRPr="000D7731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</w:t>
      </w:r>
      <w:r>
        <w:t>dopo una prima fase</w:t>
      </w:r>
      <w:r>
        <w:t xml:space="preserve"> di adattamento</w:t>
      </w:r>
      <w:r>
        <w:t xml:space="preserve">, </w:t>
      </w:r>
      <w:r>
        <w:t xml:space="preserve">ha sentito la necessità di </w:t>
      </w:r>
      <w:r w:rsidR="00A70570">
        <w:rPr>
          <w:rFonts w:eastAsia="Times New Roman" w:cs="Helvetica"/>
          <w:color w:val="222222"/>
          <w:lang w:eastAsia="it-IT"/>
        </w:rPr>
        <w:t>g</w:t>
      </w:r>
      <w:r w:rsidRPr="000D7731">
        <w:rPr>
          <w:rFonts w:eastAsia="Times New Roman" w:cs="Helvetica"/>
          <w:color w:val="222222"/>
          <w:lang w:eastAsia="it-IT"/>
        </w:rPr>
        <w:t xml:space="preserve">arantire, e ricostruire dove necessario, i contatti e le relazioni con studenti e famiglie, assicurare la continuità didattica e sostenere la socialità e il senso di appartenenza alla comunità </w:t>
      </w:r>
      <w:r>
        <w:rPr>
          <w:rFonts w:eastAsia="Times New Roman" w:cs="Helvetica"/>
          <w:color w:val="222222"/>
          <w:lang w:eastAsia="it-IT"/>
        </w:rPr>
        <w:t>scolastica.</w:t>
      </w:r>
    </w:p>
    <w:p w14:paraId="674A09AA" w14:textId="060D4C2E" w:rsidR="000D7731" w:rsidRDefault="000D7731" w:rsidP="000D7731">
      <w:pPr>
        <w:rPr>
          <w:rFonts w:eastAsia="Times New Roman" w:cs="Helvetica"/>
          <w:color w:val="222222"/>
          <w:lang w:eastAsia="it-IT"/>
        </w:rPr>
      </w:pPr>
      <w:r>
        <w:rPr>
          <w:rFonts w:eastAsia="Times New Roman" w:cs="Helvetica"/>
          <w:color w:val="222222"/>
          <w:lang w:eastAsia="it-IT"/>
        </w:rPr>
        <w:t>Le azioni</w:t>
      </w:r>
      <w:r w:rsidR="007607B3">
        <w:rPr>
          <w:rFonts w:eastAsia="Times New Roman" w:cs="Helvetica"/>
          <w:color w:val="222222"/>
          <w:lang w:eastAsia="it-IT"/>
        </w:rPr>
        <w:t xml:space="preserve"> </w:t>
      </w:r>
      <w:proofErr w:type="gramStart"/>
      <w:r>
        <w:rPr>
          <w:rFonts w:eastAsia="Times New Roman" w:cs="Helvetica"/>
          <w:color w:val="222222"/>
          <w:lang w:eastAsia="it-IT"/>
        </w:rPr>
        <w:t>messe in campo</w:t>
      </w:r>
      <w:proofErr w:type="gramEnd"/>
      <w:r>
        <w:rPr>
          <w:rFonts w:eastAsia="Times New Roman" w:cs="Helvetica"/>
          <w:color w:val="222222"/>
          <w:lang w:eastAsia="it-IT"/>
        </w:rPr>
        <w:t xml:space="preserve"> sono state molte ed hanno coinvolto tutto il personale scolastico</w:t>
      </w:r>
      <w:r w:rsidR="007607B3">
        <w:rPr>
          <w:rFonts w:eastAsia="Times New Roman" w:cs="Helvetica"/>
          <w:color w:val="222222"/>
          <w:lang w:eastAsia="it-IT"/>
        </w:rPr>
        <w:t xml:space="preserve"> e le famiglie, nel nome di una alleanza educativa fondamentale nell’attuale momento storico.</w:t>
      </w:r>
    </w:p>
    <w:p w14:paraId="37634613" w14:textId="31C3CF16" w:rsidR="007607B3" w:rsidRDefault="007607B3" w:rsidP="007607B3">
      <w:pPr>
        <w:shd w:val="clear" w:color="auto" w:fill="FFFFFF"/>
        <w:spacing w:before="120" w:after="120" w:line="336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 xml:space="preserve">Conseguentemente la nostra scuola ha operato, sin dall’inizio della sospensione delle attività didattiche, scelte atte </w:t>
      </w:r>
      <w:proofErr w:type="gramStart"/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a :</w:t>
      </w:r>
      <w:proofErr w:type="gramEnd"/>
    </w:p>
    <w:p w14:paraId="655B801D" w14:textId="77777777" w:rsidR="007607B3" w:rsidRP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favorire una didattica inclusiva a vantaggio di ogni studente</w:t>
      </w:r>
    </w:p>
    <w:p w14:paraId="024ECF86" w14:textId="77777777" w:rsidR="007607B3" w:rsidRP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monitorare le situazioni di </w:t>
      </w:r>
      <w:proofErr w:type="spellStart"/>
      <w:r w:rsidRPr="007607B3">
        <w:rPr>
          <w:rFonts w:eastAsia="Times New Roman" w:cs="Helvetica"/>
          <w:i/>
          <w:iCs/>
          <w:color w:val="222222"/>
          <w:sz w:val="24"/>
          <w:szCs w:val="24"/>
          <w:lang w:eastAsia="it-IT"/>
        </w:rPr>
        <w:t>digital</w:t>
      </w:r>
      <w:proofErr w:type="spellEnd"/>
      <w:r w:rsidRPr="007607B3">
        <w:rPr>
          <w:rFonts w:eastAsia="Times New Roman" w:cs="Helvetica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 w:rsidRPr="007607B3">
        <w:rPr>
          <w:rFonts w:eastAsia="Times New Roman" w:cs="Helvetica"/>
          <w:i/>
          <w:iCs/>
          <w:color w:val="222222"/>
          <w:sz w:val="24"/>
          <w:szCs w:val="24"/>
          <w:lang w:eastAsia="it-IT"/>
        </w:rPr>
        <w:t>devide</w:t>
      </w:r>
      <w:proofErr w:type="spellEnd"/>
      <w:r w:rsidRPr="007607B3">
        <w:rPr>
          <w:rFonts w:eastAsia="Times New Roman" w:cs="Helvetica"/>
          <w:i/>
          <w:iCs/>
          <w:color w:val="222222"/>
          <w:sz w:val="24"/>
          <w:szCs w:val="24"/>
          <w:lang w:eastAsia="it-IT"/>
        </w:rPr>
        <w:t> </w:t>
      </w: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o altre difficoltà nella fruizione della Didattica a Distanza da parte degli Studenti intervenendo, dove possibile, con contratti di comodato d’uso per l’utilizzo degli strumenti tecnologici per far fronte alle necessità di ciascuno studente;</w:t>
      </w:r>
    </w:p>
    <w:p w14:paraId="247C0C3E" w14:textId="77777777" w:rsidR="007607B3" w:rsidRP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valorizzare e rafforzare gli elementi positivi, i contributi originali, le buone pratiche degli Studenti che possono emergere nelle attività di Didattica a Distanza;</w:t>
      </w:r>
    </w:p>
    <w:p w14:paraId="45EE61B8" w14:textId="77777777" w:rsidR="007607B3" w:rsidRP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rilevare per sviluppare, oltre alle capacità comunicative e alla responsabilità di portare a termine un compito, il metodo e l’organizzazione del lavoro degli Studenti;</w:t>
      </w:r>
    </w:p>
    <w:p w14:paraId="6527AD5A" w14:textId="77777777" w:rsidR="007607B3" w:rsidRP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fornire un riscontro sollecito con indicazioni di miglioramento agli esiti parziali, incompleti o non del tutto adeguati;</w:t>
      </w:r>
    </w:p>
    <w:p w14:paraId="3E3249E9" w14:textId="2720363B" w:rsidR="007607B3" w:rsidRDefault="007607B3" w:rsidP="00760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garantire alle Famiglie l’informazione sull’evoluzione del processo di apprendimento nella Didattica a</w:t>
      </w: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 xml:space="preserve"> Distanza.</w:t>
      </w:r>
    </w:p>
    <w:p w14:paraId="19CD46F5" w14:textId="3BEA29ED" w:rsidR="007607B3" w:rsidRPr="007607B3" w:rsidRDefault="007607B3" w:rsidP="007607B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>STRUMENTI DI ATTUAZIONE DELLA DAD</w:t>
      </w:r>
    </w:p>
    <w:p w14:paraId="68D0DBE2" w14:textId="403C3F1C" w:rsidR="007607B3" w:rsidRPr="007607B3" w:rsidRDefault="007607B3" w:rsidP="007607B3">
      <w:pPr>
        <w:shd w:val="clear" w:color="auto" w:fill="FFFFFF"/>
        <w:spacing w:before="100" w:beforeAutospacing="1" w:after="100" w:afterAutospacing="1" w:line="360" w:lineRule="atLeast"/>
        <w:ind w:left="240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Le attività didattiche</w:t>
      </w:r>
      <w:r w:rsidR="00D33D0B">
        <w:rPr>
          <w:rFonts w:eastAsia="Times New Roman" w:cs="Helvetica"/>
          <w:color w:val="222222"/>
          <w:sz w:val="24"/>
          <w:szCs w:val="24"/>
          <w:lang w:eastAsia="it-IT"/>
        </w:rPr>
        <w:t>, tenuto conto delle diverse fasce di età dei nostri alunni,</w:t>
      </w: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 xml:space="preserve"> sono avvenute attraverso un bilanciamento adeguato tra modalità sincrona e asincrona con </w:t>
      </w:r>
    </w:p>
    <w:p w14:paraId="2F90642A" w14:textId="77777777" w:rsidR="007607B3" w:rsidRPr="007607B3" w:rsidRDefault="007607B3" w:rsidP="007607B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 xml:space="preserve">Utilizzo del RE e della piattaforma didattica COLLABORA </w:t>
      </w:r>
    </w:p>
    <w:p w14:paraId="515F6AC9" w14:textId="77777777" w:rsidR="007607B3" w:rsidRPr="007607B3" w:rsidRDefault="007607B3" w:rsidP="007607B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Utilizzo della piattaforma didattica EDMODO</w:t>
      </w:r>
    </w:p>
    <w:p w14:paraId="54907E74" w14:textId="77777777" w:rsidR="007607B3" w:rsidRPr="007607B3" w:rsidRDefault="007607B3" w:rsidP="007607B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Utilizzo degli strumenti di GSUITE</w:t>
      </w:r>
    </w:p>
    <w:p w14:paraId="46501563" w14:textId="5AD41DF8" w:rsidR="007607B3" w:rsidRDefault="007607B3" w:rsidP="007607B3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7607B3">
        <w:rPr>
          <w:rFonts w:eastAsia="Times New Roman" w:cs="Helvetica"/>
          <w:color w:val="222222"/>
          <w:sz w:val="24"/>
          <w:szCs w:val="24"/>
          <w:lang w:eastAsia="it-IT"/>
        </w:rPr>
        <w:t>Utilizzo di canali social quali WHATSAPP e TELEGRAM</w:t>
      </w:r>
    </w:p>
    <w:p w14:paraId="168E8A2A" w14:textId="7F53CA4D" w:rsidR="007607B3" w:rsidRDefault="007607B3" w:rsidP="007607B3">
      <w:pPr>
        <w:shd w:val="clear" w:color="auto" w:fill="FFFFFF"/>
        <w:spacing w:before="100" w:beforeAutospacing="1" w:after="100" w:afterAutospacing="1" w:line="360" w:lineRule="atLeast"/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A guidare le azioni relative alla DAD è il </w:t>
      </w:r>
      <w:r w:rsidRPr="00D33D0B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>REGOLAMENTO DELLA DIDATTICA A DISTANZA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(</w:t>
      </w:r>
      <w:r>
        <w:t>Con approvazione del Collegio dei docenti, delibera n. 39 del 26.03.2020, e del Consiglio di Istituto, delibera n.49 del 26.03.2020.</w:t>
      </w:r>
      <w:r>
        <w:t xml:space="preserve">) in cui sono esplicitate </w:t>
      </w:r>
      <w:r w:rsidR="009320FB">
        <w:t xml:space="preserve">le linee guida a cui attenersi nello svolgimento della </w:t>
      </w:r>
      <w:proofErr w:type="gramStart"/>
      <w:r w:rsidR="009320FB">
        <w:t>DAD.</w:t>
      </w:r>
      <w:r w:rsidR="00DA3873">
        <w:t>(</w:t>
      </w:r>
      <w:proofErr w:type="gramEnd"/>
      <w:r w:rsidR="00DA3873">
        <w:t>vedi Allegato</w:t>
      </w:r>
      <w:r w:rsidR="003621D1">
        <w:t xml:space="preserve"> 1</w:t>
      </w:r>
      <w:r w:rsidR="00DA3873">
        <w:t>)</w:t>
      </w:r>
      <w:r w:rsidR="003621D1">
        <w:t xml:space="preserve">. </w:t>
      </w:r>
    </w:p>
    <w:p w14:paraId="7CDFCD32" w14:textId="1676D9CF" w:rsidR="003621D1" w:rsidRDefault="00921846" w:rsidP="007607B3">
      <w:pPr>
        <w:shd w:val="clear" w:color="auto" w:fill="FFFFFF"/>
        <w:spacing w:before="100" w:beforeAutospacing="1" w:after="100" w:afterAutospacing="1" w:line="360" w:lineRule="atLeast"/>
      </w:pPr>
      <w:r>
        <w:lastRenderedPageBreak/>
        <w:t xml:space="preserve">Considerate le modalità di attuazione della DAD, si è reso necessario, altresì, regolamentare, attraverso specifica INFORMATIVA PRIVACY, l’utilizzo e la fruizione di piattaforma didattiche in modo da rendere tutti più consapevoli e rispettosi delle regole di Convivenza Sociale e Civica che disciplinano i rapporti in Rete durante la Didattica a </w:t>
      </w:r>
      <w:proofErr w:type="gramStart"/>
      <w:r>
        <w:t>Distanza.(</w:t>
      </w:r>
      <w:proofErr w:type="gramEnd"/>
      <w:r>
        <w:t>Vedi allegato 2)</w:t>
      </w:r>
    </w:p>
    <w:p w14:paraId="7BC4E697" w14:textId="13DCA8F2" w:rsidR="003621D1" w:rsidRPr="003621D1" w:rsidRDefault="003621D1" w:rsidP="00AC1BB1">
      <w:pPr>
        <w:shd w:val="clear" w:color="auto" w:fill="FFFFFF"/>
        <w:spacing w:after="100" w:afterAutospacing="1" w:line="360" w:lineRule="atLeast"/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</w:pPr>
      <w:r w:rsidRPr="003621D1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>DAD e ALUNNI CON BISOGNI EDUCATIVI SPECIALI</w:t>
      </w:r>
    </w:p>
    <w:p w14:paraId="04E3D39E" w14:textId="4BCF3889" w:rsidR="00AC1BB1" w:rsidRDefault="00515975" w:rsidP="00AC1BB1">
      <w:pPr>
        <w:shd w:val="clear" w:color="auto" w:fill="FFFFFF"/>
        <w:spacing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Particolare attenzione è stata posta anche </w:t>
      </w:r>
      <w:r w:rsidR="00AC1BB1">
        <w:rPr>
          <w:rFonts w:eastAsia="Times New Roman" w:cs="Helvetica"/>
          <w:color w:val="222222"/>
          <w:sz w:val="24"/>
          <w:szCs w:val="24"/>
          <w:lang w:eastAsia="it-IT"/>
        </w:rPr>
        <w:t xml:space="preserve">alla DAD in relazione agli alunni con Disabilità e dei BES. </w:t>
      </w:r>
      <w:r w:rsidR="00AC1BB1">
        <w:t>La DAD consente di non interrompere l’inclusione in linea col PEI</w:t>
      </w:r>
      <w:r w:rsidR="00AC1BB1">
        <w:t xml:space="preserve"> e con il PDP</w:t>
      </w:r>
      <w:r w:rsidR="00AC1BB1">
        <w:t>, document</w:t>
      </w:r>
      <w:r w:rsidR="00AC1BB1">
        <w:t>i</w:t>
      </w:r>
      <w:r w:rsidR="00AC1BB1">
        <w:t xml:space="preserve"> anch’ess</w:t>
      </w:r>
      <w:r w:rsidR="00AC1BB1">
        <w:t xml:space="preserve">i </w:t>
      </w:r>
      <w:r w:rsidR="00AC1BB1">
        <w:t>integrat</w:t>
      </w:r>
      <w:r w:rsidR="00AC1BB1">
        <w:t>i</w:t>
      </w:r>
      <w:r w:rsidR="00AC1BB1">
        <w:t xml:space="preserve"> dagli adattamenti di obiettivi, metodologie e strumenti per il periodo della DAD. </w:t>
      </w:r>
      <w:r w:rsidR="00AC1BB1">
        <w:rPr>
          <w:rFonts w:eastAsia="Times New Roman" w:cs="Helvetica"/>
          <w:color w:val="222222"/>
          <w:sz w:val="24"/>
          <w:szCs w:val="24"/>
          <w:lang w:eastAsia="it-IT"/>
        </w:rPr>
        <w:t xml:space="preserve">Inoltre, si sono definiti i compiti e i ruoli di tutte le componenti </w:t>
      </w:r>
      <w:proofErr w:type="gramStart"/>
      <w:r w:rsidR="00AC1BB1">
        <w:rPr>
          <w:rFonts w:eastAsia="Times New Roman" w:cs="Helvetica"/>
          <w:color w:val="222222"/>
          <w:sz w:val="24"/>
          <w:szCs w:val="24"/>
          <w:lang w:eastAsia="it-IT"/>
        </w:rPr>
        <w:t>scolastiche  e</w:t>
      </w:r>
      <w:proofErr w:type="gramEnd"/>
      <w:r w:rsidR="00AC1BB1">
        <w:rPr>
          <w:rFonts w:eastAsia="Times New Roman" w:cs="Helvetica"/>
          <w:color w:val="222222"/>
          <w:sz w:val="24"/>
          <w:szCs w:val="24"/>
          <w:lang w:eastAsia="it-IT"/>
        </w:rPr>
        <w:t xml:space="preserve"> non coinvolte. </w:t>
      </w:r>
    </w:p>
    <w:p w14:paraId="5AF2F6DF" w14:textId="19F94CE0" w:rsidR="00AC1BB1" w:rsidRPr="00AC1BB1" w:rsidRDefault="00AC1BB1" w:rsidP="00AC1BB1">
      <w:pPr>
        <w:shd w:val="clear" w:color="auto" w:fill="FFFFFF"/>
        <w:spacing w:after="100" w:afterAutospacing="1" w:line="360" w:lineRule="atLeast"/>
        <w:rPr>
          <w:b/>
          <w:bCs/>
        </w:rPr>
      </w:pPr>
      <w:r w:rsidRPr="00AC1BB1">
        <w:rPr>
          <w:b/>
          <w:bCs/>
        </w:rPr>
        <w:t xml:space="preserve">DAD e Alunni con disabilità </w:t>
      </w:r>
    </w:p>
    <w:p w14:paraId="03047827" w14:textId="00B8DFEA" w:rsidR="00AC1BB1" w:rsidRPr="00AC1BB1" w:rsidRDefault="00AC1BB1" w:rsidP="00DA3873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 xml:space="preserve">DOCENTI DI SOSTEGNO: interazione a distanza con l’alunno e/o la famiglia; interazione con i docenti curricolari; predisposizione di materiale personalizzato, monitorare con feed back periodici lo stato di realizzazione del PEI. </w:t>
      </w:r>
    </w:p>
    <w:p w14:paraId="65AF5654" w14:textId="77777777" w:rsidR="00AC1BB1" w:rsidRPr="00AC1BB1" w:rsidRDefault="00AC1BB1" w:rsidP="00DA3873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 xml:space="preserve">DOCENTI CURRICOLARI: collaborare con i docenti di sostegno per garantire a tutti pari opportunità e accesso a ogni attività didattica. </w:t>
      </w:r>
    </w:p>
    <w:p w14:paraId="2F541162" w14:textId="21D8D2F1" w:rsidR="00AC1BB1" w:rsidRPr="00AC1BB1" w:rsidRDefault="00AC1BB1" w:rsidP="00DA3873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 xml:space="preserve">FAMIGLIE: disamina della situazione con i docenti e accordi con i docenti di sostegno. </w:t>
      </w:r>
    </w:p>
    <w:p w14:paraId="544FBEAB" w14:textId="0C06FE4D" w:rsidR="00AC1BB1" w:rsidRPr="00AC1BB1" w:rsidRDefault="00AC1BB1" w:rsidP="00DA3873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>DIRIGENTE SCOLASTICO: d’intesa con le famiglie e i docenti di sostegno verifica che gli alunni con disabilità fisica abbiano le strumentalità necessarie, d’intesa con i CTS. Gestisce per tali alunni l’assegnazione di ausili e sussidi didattici.</w:t>
      </w:r>
    </w:p>
    <w:p w14:paraId="0EBC4B6C" w14:textId="4E56D413" w:rsidR="00AC1BB1" w:rsidRPr="00AC1BB1" w:rsidRDefault="00AC1BB1" w:rsidP="00AC1BB1">
      <w:pPr>
        <w:shd w:val="clear" w:color="auto" w:fill="FFFFFF"/>
        <w:spacing w:after="100" w:afterAutospacing="1" w:line="360" w:lineRule="atLeast"/>
        <w:rPr>
          <w:b/>
          <w:bCs/>
        </w:rPr>
      </w:pPr>
      <w:r w:rsidRPr="00AC1BB1">
        <w:rPr>
          <w:b/>
          <w:bCs/>
        </w:rPr>
        <w:t>DAD e Alunni con BES</w:t>
      </w:r>
    </w:p>
    <w:p w14:paraId="0AE5A0A0" w14:textId="77777777" w:rsidR="00AC1BB1" w:rsidRDefault="00AC1BB1" w:rsidP="00DA3873">
      <w:pPr>
        <w:shd w:val="clear" w:color="auto" w:fill="FFFFFF"/>
        <w:spacing w:after="0" w:line="360" w:lineRule="atLeast"/>
      </w:pPr>
      <w:r>
        <w:t xml:space="preserve">•DOCENTI CURRICOLARI: personalizzano la didattica e prevedono l’utilizzo di strumenti compensativi e misure dispensative previsti dal PDP. </w:t>
      </w:r>
    </w:p>
    <w:p w14:paraId="5DC627AB" w14:textId="77777777" w:rsidR="00AC1BB1" w:rsidRDefault="00AC1BB1" w:rsidP="00DA3873">
      <w:pPr>
        <w:shd w:val="clear" w:color="auto" w:fill="FFFFFF"/>
        <w:spacing w:after="0" w:line="360" w:lineRule="atLeast"/>
      </w:pPr>
      <w:r>
        <w:t xml:space="preserve">•FAMIGLIE: collaborano con i docenti </w:t>
      </w:r>
    </w:p>
    <w:p w14:paraId="356CA16A" w14:textId="77777777" w:rsidR="00AC1BB1" w:rsidRDefault="00AC1BB1" w:rsidP="00DA3873">
      <w:pPr>
        <w:shd w:val="clear" w:color="auto" w:fill="FFFFFF"/>
        <w:spacing w:after="0" w:line="360" w:lineRule="atLeast"/>
      </w:pPr>
      <w:r>
        <w:t xml:space="preserve">•DIRIGENTE SCOLASTICO: in caso di alunni con difficoltà linguistica e/o </w:t>
      </w:r>
      <w:proofErr w:type="gramStart"/>
      <w:r>
        <w:t>socio-economica</w:t>
      </w:r>
      <w:proofErr w:type="gramEnd"/>
      <w:r>
        <w:t xml:space="preserve">, il DS assegna, in comodato d’uso, eventuali devices o richiede appositi sussidi didattici attraverso l’apposito canale di comunicazione attivato nel Portale ministeriale Nuovo Coronavirus. </w:t>
      </w:r>
    </w:p>
    <w:p w14:paraId="0609F4E1" w14:textId="77777777" w:rsidR="00DA3873" w:rsidRDefault="00DA3873" w:rsidP="00AC1BB1">
      <w:pPr>
        <w:shd w:val="clear" w:color="auto" w:fill="FFFFFF"/>
        <w:spacing w:after="100" w:afterAutospacing="1" w:line="360" w:lineRule="atLeast"/>
        <w:rPr>
          <w:b/>
          <w:bCs/>
        </w:rPr>
      </w:pPr>
    </w:p>
    <w:p w14:paraId="5FE51E3D" w14:textId="207D67F5" w:rsidR="00DA3873" w:rsidRDefault="00AC1BB1" w:rsidP="00AC1BB1">
      <w:pPr>
        <w:shd w:val="clear" w:color="auto" w:fill="FFFFFF"/>
        <w:spacing w:after="100" w:afterAutospacing="1" w:line="360" w:lineRule="atLeast"/>
      </w:pPr>
      <w:r w:rsidRPr="00DA3873">
        <w:rPr>
          <w:b/>
          <w:bCs/>
        </w:rPr>
        <w:t>DAD e Alunni con DSA</w:t>
      </w:r>
      <w:r>
        <w:t xml:space="preserve"> </w:t>
      </w:r>
    </w:p>
    <w:p w14:paraId="09BD2631" w14:textId="77777777" w:rsidR="00DA3873" w:rsidRDefault="00AC1BB1" w:rsidP="00DA3873">
      <w:pPr>
        <w:shd w:val="clear" w:color="auto" w:fill="FFFFFF"/>
        <w:spacing w:after="0" w:line="360" w:lineRule="atLeast"/>
      </w:pPr>
      <w:r>
        <w:t>•DOCENTI CURRICOLARI: personalizzano la didattica e prevedono l’utilizzo di strumenti compensativi e misure dispensative (</w:t>
      </w:r>
      <w:proofErr w:type="spellStart"/>
      <w:r>
        <w:t>vd</w:t>
      </w:r>
      <w:proofErr w:type="spellEnd"/>
      <w:r>
        <w:t xml:space="preserve"> DM 5669/2011 e le relative Linee Guida) </w:t>
      </w:r>
    </w:p>
    <w:p w14:paraId="11FF2E89" w14:textId="77777777" w:rsidR="00DA3873" w:rsidRDefault="00AC1BB1" w:rsidP="00DA3873">
      <w:pPr>
        <w:shd w:val="clear" w:color="auto" w:fill="FFFFFF"/>
        <w:spacing w:after="0" w:line="360" w:lineRule="atLeast"/>
      </w:pPr>
      <w:r>
        <w:t xml:space="preserve">•FAMIGLIE: disamina della situazione con i docenti e accordi con i docenti stessi. </w:t>
      </w:r>
    </w:p>
    <w:p w14:paraId="03568A0C" w14:textId="3BFF9DC9" w:rsidR="00AC1BB1" w:rsidRDefault="00AC1BB1" w:rsidP="00DA3873">
      <w:pPr>
        <w:shd w:val="clear" w:color="auto" w:fill="FFFFFF"/>
        <w:spacing w:after="0" w:line="360" w:lineRule="atLeast"/>
      </w:pPr>
      <w:r>
        <w:t xml:space="preserve">•DIRIGENTE SCOLASTICO: coordina le attività. </w:t>
      </w:r>
    </w:p>
    <w:p w14:paraId="5854FA5D" w14:textId="47040B2B" w:rsidR="00DA3873" w:rsidRDefault="00DA3873" w:rsidP="00AC1BB1">
      <w:pPr>
        <w:shd w:val="clear" w:color="auto" w:fill="FFFFFF"/>
        <w:spacing w:after="100" w:afterAutospacing="1" w:line="360" w:lineRule="atLeast"/>
      </w:pPr>
    </w:p>
    <w:p w14:paraId="6A581B5E" w14:textId="77777777" w:rsidR="00433EBF" w:rsidRPr="00433EBF" w:rsidRDefault="00433EBF" w:rsidP="00AC1BB1">
      <w:pPr>
        <w:shd w:val="clear" w:color="auto" w:fill="FFFFFF"/>
        <w:spacing w:after="100" w:afterAutospacing="1" w:line="360" w:lineRule="atLeast"/>
        <w:rPr>
          <w:b/>
          <w:bCs/>
        </w:rPr>
      </w:pPr>
      <w:r w:rsidRPr="00433EBF">
        <w:rPr>
          <w:b/>
          <w:bCs/>
        </w:rPr>
        <w:lastRenderedPageBreak/>
        <w:t>DAD e Valutazione</w:t>
      </w:r>
    </w:p>
    <w:p w14:paraId="38F36B08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Nel periodo di attività a distanza maggiore attenzione è destinata alla valutazione delle abilità metacognitive (impegno, diligenza, accuratezza…) </w:t>
      </w:r>
    </w:p>
    <w:p w14:paraId="44585085" w14:textId="07419190" w:rsidR="00433EBF" w:rsidRDefault="00433EBF" w:rsidP="00433EBF">
      <w:pPr>
        <w:shd w:val="clear" w:color="auto" w:fill="FFFFFF"/>
        <w:spacing w:after="0" w:line="360" w:lineRule="atLeast"/>
      </w:pPr>
      <w:r>
        <w:t>• rispetto dell</w:t>
      </w:r>
      <w:r>
        <w:t>a</w:t>
      </w:r>
      <w:r>
        <w:t xml:space="preserve"> congruenza con la richiesta </w:t>
      </w:r>
    </w:p>
    <w:p w14:paraId="5FCD4B4E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• partecipazione </w:t>
      </w:r>
    </w:p>
    <w:p w14:paraId="584A2F84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• disponibilità alla collaborazione con docenti e compagni </w:t>
      </w:r>
    </w:p>
    <w:p w14:paraId="74EC2C47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• interazione costruttiva </w:t>
      </w:r>
    </w:p>
    <w:p w14:paraId="72F70A9B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• costanza nello svolgimento delle attività </w:t>
      </w:r>
    </w:p>
    <w:p w14:paraId="7183DEAF" w14:textId="77777777" w:rsidR="00433EBF" w:rsidRDefault="00433EBF" w:rsidP="00433EBF">
      <w:pPr>
        <w:shd w:val="clear" w:color="auto" w:fill="FFFFFF"/>
        <w:spacing w:after="0" w:line="360" w:lineRule="atLeast"/>
      </w:pPr>
      <w:r>
        <w:t xml:space="preserve">• impegno nella produzione del lavoro proposto </w:t>
      </w:r>
    </w:p>
    <w:p w14:paraId="7A93DE2C" w14:textId="5629A122" w:rsidR="00433EBF" w:rsidRDefault="00433EBF" w:rsidP="00433EBF">
      <w:pPr>
        <w:shd w:val="clear" w:color="auto" w:fill="FFFFFF"/>
        <w:spacing w:after="0" w:line="360" w:lineRule="atLeast"/>
      </w:pPr>
      <w:r>
        <w:t>• progressi rilevabili nell’acquisizione di conoscenze, abilità, competenze</w:t>
      </w:r>
    </w:p>
    <w:p w14:paraId="6FFCBD7A" w14:textId="121BEF4A" w:rsidR="00433EBF" w:rsidRPr="00433EBF" w:rsidRDefault="00433EBF" w:rsidP="00433EBF">
      <w:pPr>
        <w:shd w:val="clear" w:color="auto" w:fill="FFFFFF"/>
        <w:spacing w:after="0" w:line="360" w:lineRule="atLeast"/>
      </w:pPr>
      <w:r>
        <w:t>Alle griglie di valutazione disciplinare sarà affiancata una griglia di valutazione per le attività a distanza (DAD).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4"/>
        <w:gridCol w:w="4087"/>
        <w:gridCol w:w="1070"/>
        <w:gridCol w:w="2087"/>
      </w:tblGrid>
      <w:tr w:rsidR="00433EBF" w:rsidRPr="00433EBF" w14:paraId="59519CF3" w14:textId="77777777" w:rsidTr="00B67FD7">
        <w:trPr>
          <w:trHeight w:val="1314"/>
        </w:trPr>
        <w:tc>
          <w:tcPr>
            <w:tcW w:w="2384" w:type="dxa"/>
          </w:tcPr>
          <w:p w14:paraId="556B039D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>ELEMENTI DI OSSERVAZIONE</w:t>
            </w:r>
          </w:p>
        </w:tc>
        <w:tc>
          <w:tcPr>
            <w:tcW w:w="4087" w:type="dxa"/>
          </w:tcPr>
          <w:p w14:paraId="05769374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jc w:val="center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1070" w:type="dxa"/>
          </w:tcPr>
          <w:p w14:paraId="31036E75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>LIVELLI</w:t>
            </w:r>
          </w:p>
        </w:tc>
        <w:tc>
          <w:tcPr>
            <w:tcW w:w="2087" w:type="dxa"/>
          </w:tcPr>
          <w:p w14:paraId="6BB14383" w14:textId="77777777" w:rsidR="00433EBF" w:rsidRPr="00433EBF" w:rsidRDefault="00433EBF" w:rsidP="00B67FD7">
            <w:pPr>
              <w:spacing w:line="360" w:lineRule="atLeast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 xml:space="preserve">SEGNARE </w:t>
            </w:r>
          </w:p>
          <w:p w14:paraId="0A77DD99" w14:textId="77777777" w:rsidR="00433EBF" w:rsidRPr="00433EBF" w:rsidRDefault="00433EBF" w:rsidP="00B67FD7">
            <w:pPr>
              <w:spacing w:line="360" w:lineRule="atLeast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 xml:space="preserve">con   una </w:t>
            </w:r>
          </w:p>
          <w:p w14:paraId="337CE45D" w14:textId="77777777" w:rsidR="00433EBF" w:rsidRPr="00433EBF" w:rsidRDefault="00433EBF" w:rsidP="00B67FD7">
            <w:pPr>
              <w:spacing w:line="360" w:lineRule="atLeast"/>
              <w:jc w:val="center"/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b/>
                <w:bCs/>
                <w:color w:val="222222"/>
                <w:sz w:val="24"/>
                <w:szCs w:val="24"/>
                <w:lang w:eastAsia="it-IT"/>
              </w:rPr>
              <w:t>X</w:t>
            </w:r>
          </w:p>
        </w:tc>
      </w:tr>
      <w:tr w:rsidR="00433EBF" w:rsidRPr="00433EBF" w14:paraId="34D407F9" w14:textId="77777777" w:rsidTr="00B67FD7">
        <w:tc>
          <w:tcPr>
            <w:tcW w:w="2384" w:type="dxa"/>
            <w:vMerge w:val="restart"/>
          </w:tcPr>
          <w:p w14:paraId="2AFEF5F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Puntualità nelle consegne date</w:t>
            </w:r>
          </w:p>
        </w:tc>
        <w:tc>
          <w:tcPr>
            <w:tcW w:w="4087" w:type="dxa"/>
          </w:tcPr>
          <w:p w14:paraId="122EB67C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Puntuale</w:t>
            </w:r>
          </w:p>
        </w:tc>
        <w:tc>
          <w:tcPr>
            <w:tcW w:w="1070" w:type="dxa"/>
          </w:tcPr>
          <w:p w14:paraId="251B7DE7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10/9</w:t>
            </w:r>
          </w:p>
        </w:tc>
        <w:tc>
          <w:tcPr>
            <w:tcW w:w="2087" w:type="dxa"/>
          </w:tcPr>
          <w:p w14:paraId="2AB9CC01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0DEDB069" w14:textId="77777777" w:rsidTr="00B67FD7">
        <w:tc>
          <w:tcPr>
            <w:tcW w:w="2384" w:type="dxa"/>
            <w:vMerge/>
          </w:tcPr>
          <w:p w14:paraId="4542AB7B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29B96739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Abbastanza Puntuale</w:t>
            </w:r>
          </w:p>
        </w:tc>
        <w:tc>
          <w:tcPr>
            <w:tcW w:w="1070" w:type="dxa"/>
          </w:tcPr>
          <w:p w14:paraId="48B9D1D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8/7</w:t>
            </w:r>
          </w:p>
        </w:tc>
        <w:tc>
          <w:tcPr>
            <w:tcW w:w="2087" w:type="dxa"/>
          </w:tcPr>
          <w:p w14:paraId="1BB51B8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4DAD2C4A" w14:textId="77777777" w:rsidTr="00B67FD7">
        <w:tc>
          <w:tcPr>
            <w:tcW w:w="2384" w:type="dxa"/>
            <w:vMerge/>
          </w:tcPr>
          <w:p w14:paraId="72955F9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6782286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Saltuario</w:t>
            </w:r>
          </w:p>
        </w:tc>
        <w:tc>
          <w:tcPr>
            <w:tcW w:w="1070" w:type="dxa"/>
          </w:tcPr>
          <w:p w14:paraId="075603D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087" w:type="dxa"/>
          </w:tcPr>
          <w:p w14:paraId="09DF1173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2208C729" w14:textId="77777777" w:rsidTr="00B67FD7">
        <w:tc>
          <w:tcPr>
            <w:tcW w:w="2384" w:type="dxa"/>
            <w:vMerge/>
          </w:tcPr>
          <w:p w14:paraId="0788DF9D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28F73D83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Selettivo/Occasionale/Nessun Invio</w:t>
            </w:r>
          </w:p>
        </w:tc>
        <w:tc>
          <w:tcPr>
            <w:tcW w:w="1070" w:type="dxa"/>
          </w:tcPr>
          <w:p w14:paraId="2FFF9C43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5/4</w:t>
            </w:r>
          </w:p>
        </w:tc>
        <w:tc>
          <w:tcPr>
            <w:tcW w:w="2087" w:type="dxa"/>
          </w:tcPr>
          <w:p w14:paraId="7C1A8FBA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0CFCDBAF" w14:textId="77777777" w:rsidTr="00B67FD7">
        <w:tc>
          <w:tcPr>
            <w:tcW w:w="2384" w:type="dxa"/>
            <w:vMerge w:val="restart"/>
          </w:tcPr>
          <w:p w14:paraId="45CD3BA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Presentazione del compito assegnato (proposto)</w:t>
            </w:r>
          </w:p>
        </w:tc>
        <w:tc>
          <w:tcPr>
            <w:tcW w:w="4087" w:type="dxa"/>
          </w:tcPr>
          <w:p w14:paraId="6D761B48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Ordinata e Precisa</w:t>
            </w:r>
          </w:p>
        </w:tc>
        <w:tc>
          <w:tcPr>
            <w:tcW w:w="1070" w:type="dxa"/>
          </w:tcPr>
          <w:p w14:paraId="67017A09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10/9</w:t>
            </w:r>
          </w:p>
        </w:tc>
        <w:tc>
          <w:tcPr>
            <w:tcW w:w="2087" w:type="dxa"/>
          </w:tcPr>
          <w:p w14:paraId="3EB3A63A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20E18C41" w14:textId="77777777" w:rsidTr="00B67FD7">
        <w:tc>
          <w:tcPr>
            <w:tcW w:w="2384" w:type="dxa"/>
            <w:vMerge/>
          </w:tcPr>
          <w:p w14:paraId="5B848F88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07832EC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Non sempre ordinata e precisa</w:t>
            </w:r>
          </w:p>
        </w:tc>
        <w:tc>
          <w:tcPr>
            <w:tcW w:w="1070" w:type="dxa"/>
          </w:tcPr>
          <w:p w14:paraId="4EA617A7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8/7</w:t>
            </w:r>
          </w:p>
        </w:tc>
        <w:tc>
          <w:tcPr>
            <w:tcW w:w="2087" w:type="dxa"/>
          </w:tcPr>
          <w:p w14:paraId="54E64493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36014AA2" w14:textId="77777777" w:rsidTr="00B67FD7">
        <w:tc>
          <w:tcPr>
            <w:tcW w:w="2384" w:type="dxa"/>
            <w:vMerge/>
          </w:tcPr>
          <w:p w14:paraId="07CE4CB8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1061DDAD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Sufficientemente ordinata e precisa</w:t>
            </w:r>
          </w:p>
        </w:tc>
        <w:tc>
          <w:tcPr>
            <w:tcW w:w="1070" w:type="dxa"/>
          </w:tcPr>
          <w:p w14:paraId="1581FD7B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087" w:type="dxa"/>
          </w:tcPr>
          <w:p w14:paraId="36E62409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0891A2AF" w14:textId="77777777" w:rsidTr="00B67FD7">
        <w:tc>
          <w:tcPr>
            <w:tcW w:w="2384" w:type="dxa"/>
            <w:vMerge/>
          </w:tcPr>
          <w:p w14:paraId="6A98E8C3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07267EB9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Non ordinata e poco precisa</w:t>
            </w:r>
          </w:p>
        </w:tc>
        <w:tc>
          <w:tcPr>
            <w:tcW w:w="1070" w:type="dxa"/>
          </w:tcPr>
          <w:p w14:paraId="6AD838AD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5/4</w:t>
            </w:r>
          </w:p>
        </w:tc>
        <w:tc>
          <w:tcPr>
            <w:tcW w:w="2087" w:type="dxa"/>
          </w:tcPr>
          <w:p w14:paraId="04032AE7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3982E66C" w14:textId="77777777" w:rsidTr="00B67FD7">
        <w:tc>
          <w:tcPr>
            <w:tcW w:w="2384" w:type="dxa"/>
            <w:vMerge w:val="restart"/>
          </w:tcPr>
          <w:p w14:paraId="561AC0FB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Qualità del contenuto</w:t>
            </w:r>
          </w:p>
        </w:tc>
        <w:tc>
          <w:tcPr>
            <w:tcW w:w="4087" w:type="dxa"/>
          </w:tcPr>
          <w:p w14:paraId="5B6A39D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Approfondito apporto personale all’attività</w:t>
            </w:r>
          </w:p>
        </w:tc>
        <w:tc>
          <w:tcPr>
            <w:tcW w:w="1070" w:type="dxa"/>
          </w:tcPr>
          <w:p w14:paraId="153AEDF1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10/9</w:t>
            </w:r>
          </w:p>
        </w:tc>
        <w:tc>
          <w:tcPr>
            <w:tcW w:w="2087" w:type="dxa"/>
          </w:tcPr>
          <w:p w14:paraId="10C6E66F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03248B85" w14:textId="77777777" w:rsidTr="00B67FD7">
        <w:tc>
          <w:tcPr>
            <w:tcW w:w="2384" w:type="dxa"/>
            <w:vMerge/>
          </w:tcPr>
          <w:p w14:paraId="6DCE9C9E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2A5B3C01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Completo/adeguati apporto personale all’attività</w:t>
            </w:r>
          </w:p>
        </w:tc>
        <w:tc>
          <w:tcPr>
            <w:tcW w:w="1070" w:type="dxa"/>
          </w:tcPr>
          <w:p w14:paraId="0919CDB4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8/7</w:t>
            </w:r>
          </w:p>
        </w:tc>
        <w:tc>
          <w:tcPr>
            <w:tcW w:w="2087" w:type="dxa"/>
          </w:tcPr>
          <w:p w14:paraId="3DF535FA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18BF5871" w14:textId="77777777" w:rsidTr="00B67FD7">
        <w:tc>
          <w:tcPr>
            <w:tcW w:w="2384" w:type="dxa"/>
            <w:vMerge/>
          </w:tcPr>
          <w:p w14:paraId="2C091CAC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749DC488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Abbastanza completo/ essenziale apporto personale all’attività</w:t>
            </w:r>
          </w:p>
        </w:tc>
        <w:tc>
          <w:tcPr>
            <w:tcW w:w="1070" w:type="dxa"/>
          </w:tcPr>
          <w:p w14:paraId="6389824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087" w:type="dxa"/>
          </w:tcPr>
          <w:p w14:paraId="2D57B4C9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  <w:tr w:rsidR="00433EBF" w:rsidRPr="00433EBF" w14:paraId="7539E4FA" w14:textId="77777777" w:rsidTr="00B67FD7">
        <w:tc>
          <w:tcPr>
            <w:tcW w:w="2384" w:type="dxa"/>
            <w:vMerge/>
          </w:tcPr>
          <w:p w14:paraId="7FB09D38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087" w:type="dxa"/>
          </w:tcPr>
          <w:p w14:paraId="358C7A0F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Incompleto/ superficiale apporto personale all’attività</w:t>
            </w:r>
          </w:p>
        </w:tc>
        <w:tc>
          <w:tcPr>
            <w:tcW w:w="1070" w:type="dxa"/>
          </w:tcPr>
          <w:p w14:paraId="69337015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  <w:r w:rsidRPr="00433EBF"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  <w:t>5/4</w:t>
            </w:r>
          </w:p>
        </w:tc>
        <w:tc>
          <w:tcPr>
            <w:tcW w:w="2087" w:type="dxa"/>
          </w:tcPr>
          <w:p w14:paraId="755FBF46" w14:textId="77777777" w:rsidR="00433EBF" w:rsidRPr="00433EBF" w:rsidRDefault="00433EBF" w:rsidP="00B67FD7">
            <w:pPr>
              <w:spacing w:before="100" w:beforeAutospacing="1" w:after="100" w:afterAutospacing="1" w:line="360" w:lineRule="atLeast"/>
              <w:rPr>
                <w:rFonts w:eastAsia="Times New Roman" w:cs="Helvetica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32974347" w14:textId="77777777" w:rsidR="00433EBF" w:rsidRDefault="00433EBF" w:rsidP="00AC1BB1">
      <w:pPr>
        <w:shd w:val="clear" w:color="auto" w:fill="FFFFFF"/>
        <w:spacing w:after="100" w:afterAutospacing="1" w:line="360" w:lineRule="atLeast"/>
      </w:pPr>
    </w:p>
    <w:p w14:paraId="41B500F5" w14:textId="77777777" w:rsidR="00433EBF" w:rsidRDefault="00433EBF" w:rsidP="00AC1BB1">
      <w:pPr>
        <w:shd w:val="clear" w:color="auto" w:fill="FFFFFF"/>
        <w:spacing w:after="100" w:afterAutospacing="1" w:line="360" w:lineRule="atLeast"/>
      </w:pPr>
      <w:r>
        <w:t xml:space="preserve">Il voto assegnato sarà costituito dalla media </w:t>
      </w:r>
      <w:proofErr w:type="spellStart"/>
      <w:r>
        <w:t>aritmentica</w:t>
      </w:r>
      <w:proofErr w:type="spellEnd"/>
      <w:r>
        <w:t xml:space="preserve"> dei due voti calcolati. Il comportamento terrà conto del rispetto del regolamento di istituto integrato dal regolamento DAD. </w:t>
      </w:r>
    </w:p>
    <w:p w14:paraId="7D4DADC2" w14:textId="77777777" w:rsidR="00433EBF" w:rsidRDefault="00433EBF" w:rsidP="00AC1BB1">
      <w:pPr>
        <w:shd w:val="clear" w:color="auto" w:fill="FFFFFF"/>
        <w:spacing w:after="100" w:afterAutospacing="1" w:line="360" w:lineRule="atLeast"/>
      </w:pPr>
    </w:p>
    <w:p w14:paraId="1107507F" w14:textId="5D180391" w:rsidR="00433EBF" w:rsidRDefault="00433EBF" w:rsidP="00433EBF">
      <w:pPr>
        <w:shd w:val="clear" w:color="auto" w:fill="FFFFFF"/>
        <w:spacing w:after="0" w:line="360" w:lineRule="atLeast"/>
      </w:pPr>
      <w:r>
        <w:lastRenderedPageBreak/>
        <w:t xml:space="preserve">La didattica a distanza, inoltre, ha contribuito a sviluppare alcune competenze in particolare: </w:t>
      </w:r>
    </w:p>
    <w:p w14:paraId="202CB85B" w14:textId="77777777" w:rsidR="00433EBF" w:rsidRDefault="00433EBF" w:rsidP="00433EBF">
      <w:pPr>
        <w:shd w:val="clear" w:color="auto" w:fill="FFFFFF"/>
        <w:spacing w:after="0" w:line="360" w:lineRule="atLeast"/>
      </w:pPr>
      <w:r w:rsidRPr="00433EBF">
        <w:rPr>
          <w:b/>
          <w:bCs/>
        </w:rPr>
        <w:t>Competenze digitali</w:t>
      </w:r>
      <w:r>
        <w:t xml:space="preserve">: l’alunno usa con responsabilità le tecnologie per interagire con altre persone. </w:t>
      </w:r>
      <w:r w:rsidRPr="00433EBF">
        <w:rPr>
          <w:b/>
          <w:bCs/>
        </w:rPr>
        <w:t>Imparare ad imparare</w:t>
      </w:r>
      <w:r>
        <w:t xml:space="preserve">: L’alunno si impegna in nuovi apprendimenti anche in modo autonomo. </w:t>
      </w:r>
    </w:p>
    <w:p w14:paraId="6E704CA6" w14:textId="77777777" w:rsidR="00433EBF" w:rsidRDefault="00433EBF" w:rsidP="00433EBF">
      <w:pPr>
        <w:shd w:val="clear" w:color="auto" w:fill="FFFFFF"/>
        <w:spacing w:after="0" w:line="360" w:lineRule="atLeast"/>
      </w:pPr>
      <w:r w:rsidRPr="00433EBF">
        <w:rPr>
          <w:b/>
          <w:bCs/>
        </w:rPr>
        <w:t>Spirito di iniziativa e imprenditorialità:</w:t>
      </w:r>
      <w:r>
        <w:t xml:space="preserve"> L’alunno sa tradurre le idee in azione per raggiungere lo scopo prefissato e sa misurarsi con le novità e gli imprevisti. </w:t>
      </w:r>
    </w:p>
    <w:p w14:paraId="69F452C3" w14:textId="77777777" w:rsidR="00433EBF" w:rsidRDefault="00433EBF" w:rsidP="00433EBF">
      <w:pPr>
        <w:shd w:val="clear" w:color="auto" w:fill="FFFFFF"/>
        <w:spacing w:after="0" w:line="360" w:lineRule="atLeast"/>
      </w:pPr>
      <w:r w:rsidRPr="00433EBF">
        <w:rPr>
          <w:b/>
          <w:bCs/>
        </w:rPr>
        <w:t>Competenze sociali e civiche:</w:t>
      </w:r>
      <w:r>
        <w:t xml:space="preserve"> partecipazione alla vita sociale e alle iniziative di cittadinanza. </w:t>
      </w:r>
    </w:p>
    <w:p w14:paraId="0E95118C" w14:textId="6539801A" w:rsidR="00DA3873" w:rsidRPr="00AC1BB1" w:rsidRDefault="00433EBF" w:rsidP="00433EBF">
      <w:p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>Le competenze sono valutate secondo i livelli previsti dal D.M. 742/2017.</w:t>
      </w:r>
    </w:p>
    <w:p w14:paraId="18ACB712" w14:textId="77777777" w:rsidR="00433EBF" w:rsidRPr="00433EBF" w:rsidRDefault="00433EBF" w:rsidP="007607B3">
      <w:pPr>
        <w:shd w:val="clear" w:color="auto" w:fill="FFFFFF"/>
        <w:spacing w:before="100" w:beforeAutospacing="1" w:after="100" w:afterAutospacing="1" w:line="360" w:lineRule="atLeast"/>
        <w:rPr>
          <w:b/>
          <w:bCs/>
        </w:rPr>
      </w:pPr>
      <w:r w:rsidRPr="00433EBF">
        <w:rPr>
          <w:b/>
          <w:bCs/>
        </w:rPr>
        <w:t>Criteri di ammissione alla classe successiva, integrazione per la concomitanza del periodo in DAD.</w:t>
      </w:r>
    </w:p>
    <w:p w14:paraId="2770D790" w14:textId="001FB380" w:rsidR="00D33D0B" w:rsidRDefault="00433EBF" w:rsidP="007607B3">
      <w:pPr>
        <w:shd w:val="clear" w:color="auto" w:fill="FFFFFF"/>
        <w:spacing w:before="100" w:beforeAutospacing="1" w:after="100" w:afterAutospacing="1" w:line="360" w:lineRule="atLeast"/>
      </w:pPr>
      <w:r>
        <w:t xml:space="preserve"> Il computo delle assenze per la validità dell’anno scolastico sarà considerato nella percentuale delle ore di assenza del primo quadrimestre e nella frequenza di partecipazione alla DAD in relazione al contesto sociale dell’alunno. Restano confermati i criteri già deliberati dagli organi collegiali e pubblicati sul sito della scuola nella sezione PTOF, insieme alla raccomandazione del ministero di considerare i disagi prodotti con la modalità a distanza sulla frequenza delle attività e, non di secondaria importanza, sul piano emotivo.</w:t>
      </w:r>
    </w:p>
    <w:p w14:paraId="5B35EF32" w14:textId="13144AB5" w:rsidR="00A70570" w:rsidRDefault="00A70570" w:rsidP="007607B3">
      <w:pPr>
        <w:shd w:val="clear" w:color="auto" w:fill="FFFFFF"/>
        <w:spacing w:before="100" w:beforeAutospacing="1" w:after="100" w:afterAutospacing="1" w:line="360" w:lineRule="atLeast"/>
      </w:pPr>
      <w:r>
        <w:t xml:space="preserve">Per ciò che riguarda l’ammissione all’ esame finale, </w:t>
      </w:r>
      <w:r w:rsidRPr="00A70570">
        <w:t>secondo la normativa vigente ed eventuali adattamenti alla situazione epidemiologica come da ordinanza ministeriale</w:t>
      </w:r>
      <w:r>
        <w:t>, s</w:t>
      </w:r>
      <w:r w:rsidRPr="00A70570">
        <w:t>i prevede di ammettere agli esami coloro che sono risultati in regola con la frequenza scolastico, ovvero rientrino nelle deroghe previste.</w:t>
      </w:r>
    </w:p>
    <w:p w14:paraId="25F04F3A" w14:textId="21383119" w:rsidR="005746B4" w:rsidRDefault="00A70570" w:rsidP="005746B4">
      <w:pPr>
        <w:shd w:val="clear" w:color="auto" w:fill="FFFFFF"/>
        <w:spacing w:after="0" w:line="360" w:lineRule="atLeast"/>
      </w:pPr>
      <w:r>
        <w:t>Sono stati definiti anche</w:t>
      </w:r>
      <w:r w:rsidR="005746B4">
        <w:t xml:space="preserve"> i criteri di valutazione per la conclusione del Primo ciclo di studi in sostituzione degli Esami di </w:t>
      </w:r>
      <w:proofErr w:type="gramStart"/>
      <w:r w:rsidR="005746B4">
        <w:t>Stato ,</w:t>
      </w:r>
      <w:proofErr w:type="gramEnd"/>
      <w:r w:rsidR="005746B4">
        <w:t xml:space="preserve"> fatte salve le indicazioni ministeriali:</w:t>
      </w:r>
    </w:p>
    <w:p w14:paraId="669C74C0" w14:textId="77777777" w:rsidR="005746B4" w:rsidRDefault="005746B4" w:rsidP="005746B4">
      <w:pPr>
        <w:shd w:val="clear" w:color="auto" w:fill="FFFFFF"/>
        <w:spacing w:after="0" w:line="360" w:lineRule="atLeast"/>
      </w:pPr>
      <w:r>
        <w:t>1. voto di ammissione in relazione ai risultati del primo, secondo anno e primo quadrimestre di scuola secondaria di primo grado,</w:t>
      </w:r>
    </w:p>
    <w:p w14:paraId="32C452DF" w14:textId="1B37C53D" w:rsidR="005746B4" w:rsidRDefault="005746B4" w:rsidP="005746B4">
      <w:pPr>
        <w:shd w:val="clear" w:color="auto" w:fill="FFFFFF"/>
        <w:spacing w:after="0" w:line="360" w:lineRule="atLeast"/>
      </w:pPr>
      <w:r>
        <w:t xml:space="preserve"> 2. valutazione secondo quadrimestre,</w:t>
      </w:r>
    </w:p>
    <w:p w14:paraId="5C5D365C" w14:textId="77777777" w:rsidR="005746B4" w:rsidRDefault="005746B4" w:rsidP="005746B4">
      <w:pPr>
        <w:shd w:val="clear" w:color="auto" w:fill="FFFFFF"/>
        <w:spacing w:after="0" w:line="360" w:lineRule="atLeast"/>
      </w:pPr>
      <w:r>
        <w:t>3. valutazione elaborato del candidato per fine percorso di studio primo ciclo.</w:t>
      </w:r>
    </w:p>
    <w:p w14:paraId="459686AF" w14:textId="59B6FEE3" w:rsidR="005746B4" w:rsidRPr="007607B3" w:rsidRDefault="005746B4" w:rsidP="005746B4">
      <w:p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 xml:space="preserve"> 4. Criteri lode: il voto riportato nei punti 1., 2., 3. Sia 10/10 e ove fossero presenti requisiti di originalità, organicità, completezza e approfondimento nell’elaborato consegnato e descritto in colloquio in videoconferenza con </w:t>
      </w:r>
      <w:proofErr w:type="spellStart"/>
      <w:r>
        <w:t>meet</w:t>
      </w:r>
      <w:proofErr w:type="spellEnd"/>
      <w:r>
        <w:t xml:space="preserve"> sarà possibile assegnare la lode all’unanimità del consiglio di classe.</w:t>
      </w:r>
    </w:p>
    <w:p w14:paraId="21574DE1" w14:textId="4B8D1C3F" w:rsidR="007607B3" w:rsidRPr="002B7833" w:rsidRDefault="005746B4" w:rsidP="007607B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</w:pPr>
      <w:r w:rsidRPr="002B7833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>Attività di aggiornamento del Personale Docente</w:t>
      </w:r>
    </w:p>
    <w:p w14:paraId="7F817825" w14:textId="03C05F1B" w:rsidR="00624E73" w:rsidRDefault="00624E73" w:rsidP="007607B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>Anche le tematiche dei corsi di aggiornamento</w:t>
      </w:r>
      <w:r w:rsidR="002B7833">
        <w:rPr>
          <w:rFonts w:eastAsia="Times New Roman" w:cs="Helvetica"/>
          <w:color w:val="222222"/>
          <w:sz w:val="24"/>
          <w:szCs w:val="24"/>
          <w:lang w:eastAsia="it-IT"/>
        </w:rPr>
        <w:t>, tenuto conto della DAD, sono inerenti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</w:t>
      </w:r>
      <w:r w:rsidR="002B7833">
        <w:rPr>
          <w:rFonts w:eastAsia="Times New Roman" w:cs="Helvetica"/>
          <w:color w:val="222222"/>
          <w:sz w:val="24"/>
          <w:szCs w:val="24"/>
          <w:lang w:eastAsia="it-IT"/>
        </w:rPr>
        <w:t>al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l’ampliamento delle competenze dei docenti in merito alla piattaforma </w:t>
      </w:r>
      <w:proofErr w:type="spellStart"/>
      <w:r>
        <w:rPr>
          <w:rFonts w:eastAsia="Times New Roman" w:cs="Helvetica"/>
          <w:color w:val="222222"/>
          <w:sz w:val="24"/>
          <w:szCs w:val="24"/>
          <w:lang w:eastAsia="it-IT"/>
        </w:rPr>
        <w:t>Gsuite</w:t>
      </w:r>
      <w:proofErr w:type="spellEnd"/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e ai rischi collegati alla rete. Nello specifico, i corsi riguarderanno</w:t>
      </w:r>
    </w:p>
    <w:p w14:paraId="2FA081F7" w14:textId="77777777" w:rsidR="002B7833" w:rsidRDefault="005746B4" w:rsidP="002B7833">
      <w:p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 xml:space="preserve">Corso con finanziamenti D.M. 187/2020 all.1 </w:t>
      </w:r>
      <w:proofErr w:type="spellStart"/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>lett</w:t>
      </w:r>
      <w:proofErr w:type="spellEnd"/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 xml:space="preserve"> </w:t>
      </w:r>
      <w:proofErr w:type="gramStart"/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>c,.</w:t>
      </w:r>
      <w:proofErr w:type="gramEnd"/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 xml:space="preserve"> </w:t>
      </w:r>
    </w:p>
    <w:p w14:paraId="1248CE8A" w14:textId="089AA45F" w:rsidR="005746B4" w:rsidRDefault="005746B4" w:rsidP="002B7833">
      <w:p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5746B4">
        <w:rPr>
          <w:rFonts w:eastAsia="Times New Roman" w:cs="Helvetica"/>
          <w:color w:val="222222"/>
          <w:sz w:val="24"/>
          <w:szCs w:val="24"/>
          <w:lang w:eastAsia="it-IT"/>
        </w:rPr>
        <w:t>Ente di formazione accreditato MIUR: KNOW K s.r.l.</w:t>
      </w:r>
    </w:p>
    <w:p w14:paraId="48E8AB4A" w14:textId="20F2A093" w:rsidR="00B54C23" w:rsidRDefault="00B54C23" w:rsidP="002B7833">
      <w:pPr>
        <w:shd w:val="clear" w:color="auto" w:fill="FFFFFF"/>
        <w:spacing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>Titolo "</w:t>
      </w:r>
      <w:proofErr w:type="spellStart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>Classroom</w:t>
      </w:r>
      <w:proofErr w:type="spellEnd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 xml:space="preserve"> e Moduli della </w:t>
      </w:r>
      <w:proofErr w:type="spellStart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>GSuite</w:t>
      </w:r>
      <w:proofErr w:type="spellEnd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 xml:space="preserve">" con le seguenti </w:t>
      </w:r>
      <w:proofErr w:type="gramStart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>caratteristiche:  in</w:t>
      </w:r>
      <w:proofErr w:type="gramEnd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 xml:space="preserve"> Webinar (3 moduli di 2 ore) </w:t>
      </w:r>
      <w:proofErr w:type="spellStart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>DaD</w:t>
      </w:r>
      <w:proofErr w:type="spellEnd"/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t xml:space="preserve"> sincrona e asincrona   </w:t>
      </w:r>
    </w:p>
    <w:p w14:paraId="2074EE0C" w14:textId="77777777" w:rsidR="002B7833" w:rsidRDefault="00B54C23" w:rsidP="002B7833">
      <w:pPr>
        <w:shd w:val="clear" w:color="auto" w:fill="FFFFFF"/>
        <w:tabs>
          <w:tab w:val="center" w:pos="4819"/>
        </w:tabs>
        <w:spacing w:before="100" w:beforeAutospacing="1"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 w:rsidRPr="00B54C23">
        <w:rPr>
          <w:rFonts w:eastAsia="Times New Roman" w:cs="Helvetica"/>
          <w:color w:val="222222"/>
          <w:sz w:val="24"/>
          <w:szCs w:val="24"/>
          <w:lang w:eastAsia="it-IT"/>
        </w:rPr>
        <w:lastRenderedPageBreak/>
        <w:t>Corsi formazione finanziamento ambito 9</w:t>
      </w:r>
      <w:r w:rsidR="002B7833">
        <w:rPr>
          <w:rFonts w:eastAsia="Times New Roman" w:cs="Helvetica"/>
          <w:color w:val="222222"/>
          <w:sz w:val="24"/>
          <w:szCs w:val="24"/>
          <w:lang w:eastAsia="it-IT"/>
        </w:rPr>
        <w:t>,</w:t>
      </w:r>
    </w:p>
    <w:p w14:paraId="5B7B16D6" w14:textId="61EF38DA" w:rsidR="00B54C23" w:rsidRDefault="002B7833" w:rsidP="002B7833">
      <w:pPr>
        <w:shd w:val="clear" w:color="auto" w:fill="FFFFFF"/>
        <w:tabs>
          <w:tab w:val="center" w:pos="4819"/>
        </w:tabs>
        <w:spacing w:before="100" w:beforeAutospacing="1"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Ente di formazione accreditato MIUR: Accademia del Levante della durata di 25 h in Webinar</w:t>
      </w:r>
    </w:p>
    <w:p w14:paraId="3164FC5B" w14:textId="3720E531" w:rsidR="002B7833" w:rsidRDefault="002B7833" w:rsidP="002B7833">
      <w:pPr>
        <w:shd w:val="clear" w:color="auto" w:fill="FFFFFF"/>
        <w:tabs>
          <w:tab w:val="center" w:pos="4819"/>
        </w:tabs>
        <w:spacing w:before="100" w:beforeAutospacing="1" w:after="0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>Due percorsi sui seguenti temi.</w:t>
      </w:r>
    </w:p>
    <w:p w14:paraId="326230BA" w14:textId="431F5770" w:rsidR="002B7833" w:rsidRPr="002B7833" w:rsidRDefault="002B7833" w:rsidP="002B7833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>Prevenzione bullismo e cyberbullismo</w:t>
      </w:r>
    </w:p>
    <w:p w14:paraId="246A2B65" w14:textId="2B919111" w:rsidR="002B7833" w:rsidRPr="002B7833" w:rsidRDefault="002B7833" w:rsidP="002B7833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t xml:space="preserve">Apprendimento cooperativo e </w:t>
      </w:r>
      <w:proofErr w:type="spellStart"/>
      <w:r>
        <w:t>cocostruzione</w:t>
      </w:r>
      <w:proofErr w:type="spellEnd"/>
      <w:r>
        <w:t xml:space="preserve"> degli apprendimenti</w:t>
      </w:r>
    </w:p>
    <w:p w14:paraId="0A76F38D" w14:textId="461DCBF5" w:rsidR="002B7833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</w:p>
    <w:p w14:paraId="002654A4" w14:textId="4A136A20" w:rsidR="002B7833" w:rsidRPr="00A70570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</w:pPr>
      <w:r w:rsidRPr="00A70570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>Ampliamento dell’Offerta Formativa</w:t>
      </w:r>
    </w:p>
    <w:p w14:paraId="65DB23B7" w14:textId="0EDFE873" w:rsidR="002B7833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La sospensione delle attività </w:t>
      </w:r>
      <w:proofErr w:type="gramStart"/>
      <w:r>
        <w:rPr>
          <w:rFonts w:eastAsia="Times New Roman" w:cs="Helvetica"/>
          <w:color w:val="222222"/>
          <w:sz w:val="24"/>
          <w:szCs w:val="24"/>
          <w:lang w:eastAsia="it-IT"/>
        </w:rPr>
        <w:t>didattiche  ha</w:t>
      </w:r>
      <w:proofErr w:type="gramEnd"/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avuto, come logica conseguenza, lo slittamento al prossimo </w:t>
      </w:r>
      <w:proofErr w:type="spellStart"/>
      <w:r>
        <w:rPr>
          <w:rFonts w:eastAsia="Times New Roman" w:cs="Helvetica"/>
          <w:color w:val="222222"/>
          <w:sz w:val="24"/>
          <w:szCs w:val="24"/>
          <w:lang w:eastAsia="it-IT"/>
        </w:rPr>
        <w:t>a.s.</w:t>
      </w:r>
      <w:proofErr w:type="spellEnd"/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di alcune attività progettuali inserite nel PTOF del corrente anno scolastico.</w:t>
      </w:r>
    </w:p>
    <w:p w14:paraId="754A523C" w14:textId="3EE54E1C" w:rsidR="002B7833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A tal proposito, si specifica che il percorso PON” </w:t>
      </w:r>
      <w:r w:rsidRPr="002B7833">
        <w:rPr>
          <w:rFonts w:eastAsia="Times New Roman" w:cs="Helvetica"/>
          <w:color w:val="222222"/>
          <w:sz w:val="24"/>
          <w:szCs w:val="24"/>
          <w:lang w:eastAsia="it-IT"/>
        </w:rPr>
        <w:t>TANTE CULTURE . . . UNA SOCIETA'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>”</w:t>
      </w:r>
      <w:r w:rsidRPr="002B7833">
        <w:rPr>
          <w:rFonts w:eastAsia="Times New Roman" w:cs="Helvetica"/>
          <w:color w:val="222222"/>
          <w:sz w:val="24"/>
          <w:szCs w:val="24"/>
          <w:lang w:eastAsia="it-IT"/>
        </w:rPr>
        <w:t xml:space="preserve"> - Codice progetto 10.1.1A-FSEPON-PU-2019-321 - CUP: C98H19000320001 è stato rinviato con avvio a settembre 2020. </w:t>
      </w:r>
    </w:p>
    <w:p w14:paraId="7DF24E57" w14:textId="0D63DA63" w:rsidR="002B7833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Si concluderà il prossimo </w:t>
      </w:r>
      <w:proofErr w:type="spellStart"/>
      <w:r>
        <w:rPr>
          <w:rFonts w:eastAsia="Times New Roman" w:cs="Helvetica"/>
          <w:color w:val="222222"/>
          <w:sz w:val="24"/>
          <w:szCs w:val="24"/>
          <w:lang w:eastAsia="it-IT"/>
        </w:rPr>
        <w:t>a.s.</w:t>
      </w:r>
      <w:proofErr w:type="spellEnd"/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 anche il </w:t>
      </w:r>
      <w:r w:rsidR="00A70570">
        <w:rPr>
          <w:rFonts w:eastAsia="Times New Roman" w:cs="Helvetica"/>
          <w:color w:val="222222"/>
          <w:sz w:val="24"/>
          <w:szCs w:val="24"/>
          <w:lang w:eastAsia="it-IT"/>
        </w:rPr>
        <w:t>“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>Progetto Coro</w:t>
      </w:r>
      <w:r w:rsidR="00A70570">
        <w:rPr>
          <w:rFonts w:eastAsia="Times New Roman" w:cs="Helvetica"/>
          <w:color w:val="222222"/>
          <w:sz w:val="24"/>
          <w:szCs w:val="24"/>
          <w:lang w:eastAsia="it-IT"/>
        </w:rPr>
        <w:t>”.</w:t>
      </w:r>
    </w:p>
    <w:p w14:paraId="4ABDB79E" w14:textId="250D0904" w:rsidR="00A70570" w:rsidRDefault="00A70570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  <w:r>
        <w:rPr>
          <w:rFonts w:eastAsia="Times New Roman" w:cs="Helvetica"/>
          <w:color w:val="222222"/>
          <w:sz w:val="24"/>
          <w:szCs w:val="24"/>
          <w:lang w:eastAsia="it-IT"/>
        </w:rPr>
        <w:t xml:space="preserve">Inoltre, la Scuola ha aderito all’avviso </w:t>
      </w:r>
      <w:r w:rsidRPr="00A70570">
        <w:rPr>
          <w:rFonts w:eastAsia="Times New Roman" w:cs="Helvetica"/>
          <w:color w:val="222222"/>
          <w:sz w:val="24"/>
          <w:szCs w:val="24"/>
          <w:lang w:eastAsia="it-IT"/>
        </w:rPr>
        <w:t>- FESR - Realizzazione di smart class per la scuola del primo ciclo</w:t>
      </w:r>
      <w:r>
        <w:rPr>
          <w:rFonts w:eastAsia="Times New Roman" w:cs="Helvetica"/>
          <w:color w:val="222222"/>
          <w:sz w:val="24"/>
          <w:szCs w:val="24"/>
          <w:lang w:eastAsia="it-IT"/>
        </w:rPr>
        <w:t>, finalizzato al potenziamento della dotazione tecnologica delle scuole del primo ciclo.</w:t>
      </w:r>
    </w:p>
    <w:p w14:paraId="05C46A0E" w14:textId="0E930944" w:rsidR="002B7833" w:rsidRPr="002B7833" w:rsidRDefault="002B7833" w:rsidP="002B783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</w:p>
    <w:p w14:paraId="062C5007" w14:textId="77777777" w:rsidR="007607B3" w:rsidRPr="001038E2" w:rsidRDefault="007607B3" w:rsidP="007607B3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</w:p>
    <w:p w14:paraId="3FEC3FE1" w14:textId="77777777" w:rsidR="007607B3" w:rsidRPr="007607B3" w:rsidRDefault="007607B3" w:rsidP="007607B3">
      <w:pPr>
        <w:shd w:val="clear" w:color="auto" w:fill="FFFFFF"/>
        <w:spacing w:before="120" w:after="120" w:line="336" w:lineRule="atLeast"/>
        <w:rPr>
          <w:rFonts w:eastAsia="Times New Roman" w:cs="Helvetica"/>
          <w:color w:val="222222"/>
          <w:sz w:val="24"/>
          <w:szCs w:val="24"/>
          <w:lang w:eastAsia="it-IT"/>
        </w:rPr>
      </w:pPr>
    </w:p>
    <w:p w14:paraId="75029B9F" w14:textId="77777777" w:rsidR="007607B3" w:rsidRDefault="007607B3" w:rsidP="000D7731">
      <w:pPr>
        <w:rPr>
          <w:rFonts w:eastAsia="Times New Roman" w:cs="Helvetica"/>
          <w:color w:val="222222"/>
          <w:lang w:eastAsia="it-IT"/>
        </w:rPr>
      </w:pPr>
    </w:p>
    <w:p w14:paraId="59D05755" w14:textId="77777777" w:rsidR="007607B3" w:rsidRDefault="007607B3" w:rsidP="000D7731">
      <w:pPr>
        <w:rPr>
          <w:rFonts w:eastAsia="Times New Roman" w:cs="Helvetica"/>
          <w:color w:val="222222"/>
          <w:lang w:eastAsia="it-IT"/>
        </w:rPr>
      </w:pPr>
    </w:p>
    <w:p w14:paraId="28DCF34D" w14:textId="77777777" w:rsidR="000D7731" w:rsidRPr="000D7731" w:rsidRDefault="000D7731" w:rsidP="000D7731"/>
    <w:p w14:paraId="0563D682" w14:textId="77777777" w:rsidR="008E3C3A" w:rsidRDefault="008E3C3A"/>
    <w:sectPr w:rsidR="008E3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6170A"/>
    <w:multiLevelType w:val="hybridMultilevel"/>
    <w:tmpl w:val="B4FEE30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4C93ADD"/>
    <w:multiLevelType w:val="hybridMultilevel"/>
    <w:tmpl w:val="D9DE9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3C7"/>
    <w:multiLevelType w:val="hybridMultilevel"/>
    <w:tmpl w:val="46B4C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73B1"/>
    <w:multiLevelType w:val="multilevel"/>
    <w:tmpl w:val="3D0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D079D"/>
    <w:multiLevelType w:val="hybridMultilevel"/>
    <w:tmpl w:val="8942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A"/>
    <w:rsid w:val="000D7731"/>
    <w:rsid w:val="002B7833"/>
    <w:rsid w:val="003621D1"/>
    <w:rsid w:val="00433EBF"/>
    <w:rsid w:val="00515975"/>
    <w:rsid w:val="005746B4"/>
    <w:rsid w:val="00624E73"/>
    <w:rsid w:val="007607B3"/>
    <w:rsid w:val="007C31EC"/>
    <w:rsid w:val="008E3C3A"/>
    <w:rsid w:val="00921846"/>
    <w:rsid w:val="009320FB"/>
    <w:rsid w:val="00A70570"/>
    <w:rsid w:val="00AC1BB1"/>
    <w:rsid w:val="00B54C23"/>
    <w:rsid w:val="00D33D0B"/>
    <w:rsid w:val="00DA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2BC1"/>
  <w15:chartTrackingRefBased/>
  <w15:docId w15:val="{2A6A1FE1-2E1C-4314-86D9-99598AB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7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</cp:lastModifiedBy>
  <cp:revision>1</cp:revision>
  <dcterms:created xsi:type="dcterms:W3CDTF">2020-05-22T09:29:00Z</dcterms:created>
  <dcterms:modified xsi:type="dcterms:W3CDTF">2020-05-22T17:01:00Z</dcterms:modified>
</cp:coreProperties>
</file>